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1.DATA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Data available from SPC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Hui - Can you add some description here what tornado and hail data is available from SPC (format, period etc.)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Gridding of the data from SPC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Hui - Can you add here gridding procedure you have followed.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Kirstin - Is is tornado data same as what Steve Baxter has?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Final Gridded Data: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Hui - can you fill the following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Single record for each year averaged over MAMJ season?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Data periods for tornado and hail?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Horizontal resolution?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grid point values actually mean? Number of tornadoes over MAMJ or average over a MAMJ?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2. FORECAST METHODS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1. Empirical: Use winter/spring ENSO and MAMJ tornado/hail relationship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2. Hybrid empirical-dynamical: (a)develop simultaneous relationship between ENO and MAMJ tornado/hail; (b) use model based predicted value for ENSO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3. Hybrid empirical-dynamical (using variables other than ENSO):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4. IRI’s approach: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Kirstin - Can you add some description here?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5. Others (add any other thoughts you might have)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Goal - By middle of January, having a method (e.g., empirical) will suffice. IRI and AMOL can provide their input and their approach may touch on some of methods listed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 deal with issues with trends in the analysis, one could try predicting the year-to-year difference in tornado/hail.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3. UPCOMING TASKS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to forecast? Single index; regional indices; spatial map?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 Categorial (like CPC’s seasonal forecast)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 Forecast format?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